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tl w:val="0"/>
        </w:rPr>
      </w:r>
    </w:p>
    <w:p w:rsidR="00000000" w:rsidDel="00000000" w:rsidP="00000000" w:rsidRDefault="00000000" w:rsidRPr="00000000" w14:paraId="00000002">
      <w:pPr>
        <w:jc w:val="center"/>
        <w:rPr>
          <w:b w:val="1"/>
          <w:bCs w:val="1"/>
          <w:u w:val="single"/>
        </w:rPr>
      </w:pPr>
      <w:r w:rsidDel="00000000" w:rsidR="00000000" w:rsidRPr="00000000">
        <w:rPr>
          <w:b w:val="1"/>
          <w:bCs w:val="1"/>
          <w:u w:val="single"/>
          <w:rtl w:val="0"/>
        </w:rPr>
        <w:t xml:space="preserve">All-Party Parliamentary Group for Cyber Innovation</w:t>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2026 Annual General Meeting Minutes</w:t>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11th February 2026</w:t>
      </w:r>
      <w:r w:rsidDel="00000000" w:rsidR="00000000" w:rsidRPr="00000000">
        <w:rPr>
          <w:rtl w:val="0"/>
        </w:rPr>
        <w:t xml:space="preserve"> | </w:t>
      </w:r>
      <w:r w:rsidDel="00000000" w:rsidR="00000000" w:rsidRPr="00000000">
        <w:rPr>
          <w:b w:val="1"/>
          <w:bCs w:val="1"/>
          <w:rtl w:val="0"/>
        </w:rPr>
        <w:t xml:space="preserve">2:30-3:30pm </w:t>
      </w:r>
      <w:r w:rsidDel="00000000" w:rsidR="00000000" w:rsidRPr="00000000">
        <w:rPr>
          <w:rtl w:val="0"/>
        </w:rPr>
        <w:t xml:space="preserve">| </w:t>
      </w:r>
      <w:r w:rsidDel="00000000" w:rsidR="00000000" w:rsidRPr="00000000">
        <w:rPr>
          <w:b w:val="1"/>
          <w:bCs w:val="1"/>
          <w:rtl w:val="0"/>
        </w:rPr>
        <w:t xml:space="preserve">Room W3, Westminster Hall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u w:val="single"/>
          <w:rtl w:val="0"/>
        </w:rPr>
        <w:t xml:space="preserve">Independent Chair:</w:t>
      </w:r>
      <w:r w:rsidDel="00000000" w:rsidR="00000000" w:rsidRPr="00000000">
        <w:rPr>
          <w:b w:val="1"/>
          <w:bCs w:val="1"/>
          <w:rtl w:val="0"/>
        </w:rPr>
        <w:t xml:space="preserve"> </w:t>
      </w:r>
      <w:r w:rsidDel="00000000" w:rsidR="00000000" w:rsidRPr="00000000">
        <w:rPr>
          <w:rtl w:val="0"/>
        </w:rPr>
        <w:t xml:space="preserve">Paula Barker MP</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u w:val="single"/>
        </w:rPr>
      </w:pPr>
      <w:r w:rsidDel="00000000" w:rsidR="00000000" w:rsidRPr="00000000">
        <w:rPr>
          <w:b w:val="1"/>
          <w:bCs w:val="1"/>
          <w:u w:val="single"/>
          <w:rtl w:val="0"/>
        </w:rPr>
        <w:t xml:space="preserve">Attendees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Sarah Edwards MP</w:t>
      </w:r>
    </w:p>
    <w:p w:rsidR="00000000" w:rsidDel="00000000" w:rsidP="00000000" w:rsidRDefault="00000000" w:rsidRPr="00000000" w14:paraId="0000000B">
      <w:pPr>
        <w:rPr/>
      </w:pPr>
      <w:r w:rsidDel="00000000" w:rsidR="00000000" w:rsidRPr="00000000">
        <w:rPr>
          <w:rtl w:val="0"/>
        </w:rPr>
        <w:t xml:space="preserve">Viscount Camrose </w:t>
      </w:r>
    </w:p>
    <w:p w:rsidR="00000000" w:rsidDel="00000000" w:rsidP="00000000" w:rsidRDefault="00000000" w:rsidRPr="00000000" w14:paraId="0000000C">
      <w:pPr>
        <w:rPr/>
      </w:pPr>
      <w:r w:rsidDel="00000000" w:rsidR="00000000" w:rsidRPr="00000000">
        <w:rPr>
          <w:rtl w:val="0"/>
        </w:rPr>
        <w:t xml:space="preserve">Dan Aldridge MP</w:t>
      </w:r>
    </w:p>
    <w:p w:rsidR="00000000" w:rsidDel="00000000" w:rsidP="00000000" w:rsidRDefault="00000000" w:rsidRPr="00000000" w14:paraId="0000000D">
      <w:pPr>
        <w:rPr/>
      </w:pPr>
      <w:r w:rsidDel="00000000" w:rsidR="00000000" w:rsidRPr="00000000">
        <w:rPr>
          <w:rtl w:val="0"/>
        </w:rPr>
        <w:t xml:space="preserve">Samantha Niblett MP</w:t>
      </w:r>
    </w:p>
    <w:p w:rsidR="00000000" w:rsidDel="00000000" w:rsidP="00000000" w:rsidRDefault="00000000" w:rsidRPr="00000000" w14:paraId="0000000E">
      <w:pPr>
        <w:rPr/>
      </w:pPr>
      <w:r w:rsidDel="00000000" w:rsidR="00000000" w:rsidRPr="00000000">
        <w:rPr>
          <w:rtl w:val="0"/>
        </w:rPr>
        <w:t xml:space="preserve">Emily Darlington MP</w:t>
      </w:r>
    </w:p>
    <w:p w:rsidR="00000000" w:rsidDel="00000000" w:rsidP="00000000" w:rsidRDefault="00000000" w:rsidRPr="00000000" w14:paraId="0000000F">
      <w:pPr>
        <w:rPr/>
      </w:pPr>
      <w:r w:rsidDel="00000000" w:rsidR="00000000" w:rsidRPr="00000000">
        <w:rPr>
          <w:rtl w:val="0"/>
        </w:rPr>
        <w:t xml:space="preserve">Max Wilkinson MP</w:t>
      </w:r>
    </w:p>
    <w:p w:rsidR="00000000" w:rsidDel="00000000" w:rsidP="00000000" w:rsidRDefault="00000000" w:rsidRPr="00000000" w14:paraId="00000010">
      <w:pPr>
        <w:rPr/>
      </w:pPr>
      <w:r w:rsidDel="00000000" w:rsidR="00000000" w:rsidRPr="00000000">
        <w:rPr>
          <w:rtl w:val="0"/>
        </w:rPr>
        <w:t xml:space="preserve">Baroness Neville</w:t>
      </w:r>
      <w:r w:rsidDel="00000000" w:rsidR="00000000" w:rsidRPr="00000000">
        <w:rPr>
          <w:rtl w:val="0"/>
        </w:rPr>
        <w:t xml:space="preserve">-Rolfe</w:t>
      </w:r>
    </w:p>
    <w:p w:rsidR="00000000" w:rsidDel="00000000" w:rsidP="00000000" w:rsidRDefault="00000000" w:rsidRPr="00000000" w14:paraId="00000011">
      <w:pPr>
        <w:rPr/>
      </w:pPr>
      <w:r w:rsidDel="00000000" w:rsidR="00000000" w:rsidRPr="00000000">
        <w:rPr>
          <w:rtl w:val="0"/>
        </w:rPr>
        <w:t xml:space="preserve">Andrew Cooper MP</w:t>
      </w:r>
    </w:p>
    <w:p w:rsidR="00000000" w:rsidDel="00000000" w:rsidP="00000000" w:rsidRDefault="00000000" w:rsidRPr="00000000" w14:paraId="00000012">
      <w:pPr>
        <w:rPr/>
      </w:pPr>
      <w:r w:rsidDel="00000000" w:rsidR="00000000" w:rsidRPr="00000000">
        <w:rPr>
          <w:rtl w:val="0"/>
        </w:rPr>
        <w:t xml:space="preserve">Alex McIntyre MP</w:t>
      </w:r>
    </w:p>
    <w:p w:rsidR="00000000" w:rsidDel="00000000" w:rsidP="00000000" w:rsidRDefault="00000000" w:rsidRPr="00000000" w14:paraId="00000013">
      <w:pPr>
        <w:rPr/>
      </w:pPr>
      <w:r w:rsidDel="00000000" w:rsidR="00000000" w:rsidRPr="00000000">
        <w:rPr>
          <w:rtl w:val="0"/>
        </w:rPr>
        <w:t xml:space="preserve">Samantha Niblett MP</w:t>
      </w:r>
    </w:p>
    <w:p w:rsidR="00000000" w:rsidDel="00000000" w:rsidP="00000000" w:rsidRDefault="00000000" w:rsidRPr="00000000" w14:paraId="00000014">
      <w:pPr>
        <w:rPr/>
      </w:pPr>
      <w:r w:rsidDel="00000000" w:rsidR="00000000" w:rsidRPr="00000000">
        <w:rPr>
          <w:rtl w:val="0"/>
        </w:rPr>
        <w:t xml:space="preserve">Alison Griffiths MP</w:t>
      </w:r>
    </w:p>
    <w:p w:rsidR="00000000" w:rsidDel="00000000" w:rsidP="00000000" w:rsidRDefault="00000000" w:rsidRPr="00000000" w14:paraId="00000015">
      <w:pPr>
        <w:rPr/>
      </w:pPr>
      <w:r w:rsidDel="00000000" w:rsidR="00000000" w:rsidRPr="00000000">
        <w:rPr>
          <w:rtl w:val="0"/>
        </w:rPr>
        <w:t xml:space="preserve">Arthur Virgo, Digital Policy Alliance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u w:val="single"/>
        </w:rPr>
      </w:pPr>
      <w:r w:rsidDel="00000000" w:rsidR="00000000" w:rsidRPr="00000000">
        <w:rPr>
          <w:b w:val="1"/>
          <w:bCs w:val="1"/>
          <w:u w:val="single"/>
          <w:rtl w:val="0"/>
        </w:rPr>
        <w:t xml:space="preserve">Secretariat</w:t>
      </w:r>
    </w:p>
    <w:p w:rsidR="00000000" w:rsidDel="00000000" w:rsidP="00000000" w:rsidRDefault="00000000" w:rsidRPr="00000000" w14:paraId="00000018">
      <w:pPr>
        <w:rPr/>
      </w:pPr>
      <w:r w:rsidDel="00000000" w:rsidR="00000000" w:rsidRPr="00000000">
        <w:rPr>
          <w:rtl w:val="0"/>
        </w:rPr>
        <w:t xml:space="preserve">Andrew Kernahan</w:t>
      </w:r>
    </w:p>
    <w:p w:rsidR="00000000" w:rsidDel="00000000" w:rsidP="00000000" w:rsidRDefault="00000000" w:rsidRPr="00000000" w14:paraId="00000019">
      <w:pPr>
        <w:rPr/>
      </w:pPr>
      <w:r w:rsidDel="00000000" w:rsidR="00000000" w:rsidRPr="00000000">
        <w:rPr>
          <w:rtl w:val="0"/>
        </w:rPr>
        <w:t xml:space="preserve">Grace Shin</w:t>
      </w:r>
    </w:p>
    <w:p w:rsidR="00000000" w:rsidDel="00000000" w:rsidP="00000000" w:rsidRDefault="00000000" w:rsidRPr="00000000" w14:paraId="0000001A">
      <w:pPr>
        <w:rPr/>
      </w:pPr>
      <w:r w:rsidDel="00000000" w:rsidR="00000000" w:rsidRPr="00000000">
        <w:rPr>
          <w:rtl w:val="0"/>
        </w:rPr>
        <w:t xml:space="preserve">Fin O’Connor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u w:val="single"/>
        </w:rPr>
      </w:pPr>
      <w:r w:rsidDel="00000000" w:rsidR="00000000" w:rsidRPr="00000000">
        <w:rPr>
          <w:b w:val="1"/>
          <w:bCs w:val="1"/>
          <w:u w:val="single"/>
          <w:rtl w:val="0"/>
        </w:rPr>
        <w:t xml:space="preserve">Agenda</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Welcome and introductions </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Election of 4 officers</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Approval of income and expenditure statement for publication</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2025 review </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2026 plan of work</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left"/>
        <w:rPr>
          <w:b w:val="1"/>
          <w:bCs w:val="1"/>
          <w:u w:val="single"/>
        </w:rPr>
      </w:pPr>
      <w:r w:rsidDel="00000000" w:rsidR="00000000" w:rsidRPr="00000000">
        <w:rPr>
          <w:b w:val="1"/>
          <w:bCs w:val="1"/>
          <w:u w:val="single"/>
          <w:rtl w:val="0"/>
        </w:rPr>
        <w:t xml:space="preserve">Minutes</w:t>
      </w:r>
    </w:p>
    <w:p w:rsidR="00000000" w:rsidDel="00000000" w:rsidP="00000000" w:rsidRDefault="00000000" w:rsidRPr="00000000" w14:paraId="00000024">
      <w:pPr>
        <w:jc w:val="left"/>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Election of 4 officers:</w:t>
      </w:r>
      <w:r w:rsidDel="00000000" w:rsidR="00000000" w:rsidRPr="00000000">
        <w:rPr>
          <w:rtl w:val="0"/>
        </w:rPr>
      </w:r>
    </w:p>
    <w:p w:rsidR="00000000" w:rsidDel="00000000" w:rsidP="00000000" w:rsidRDefault="00000000" w:rsidRPr="00000000" w14:paraId="00000026">
      <w:pPr>
        <w:numPr>
          <w:ilvl w:val="0"/>
          <w:numId w:val="2"/>
        </w:numPr>
        <w:ind w:left="720" w:hanging="360"/>
      </w:pPr>
      <w:r w:rsidDel="00000000" w:rsidR="00000000" w:rsidRPr="00000000">
        <w:rPr>
          <w:rtl w:val="0"/>
        </w:rPr>
        <w:t xml:space="preserve">Dan Aldridge nominated as Chair (Sarah Edwards proposed, Baroness Neville-Rolfe seconded)</w:t>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Max Wilkinson (in absentia), Alison Griffiths (in absentia), Sarah Edwards nominated as Officers.</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0" w:firstLine="0"/>
        <w:rPr>
          <w:b w:val="1"/>
          <w:bCs w:val="1"/>
        </w:rPr>
      </w:pPr>
      <w:r w:rsidDel="00000000" w:rsidR="00000000" w:rsidRPr="00000000">
        <w:rPr>
          <w:b w:val="1"/>
          <w:bCs w:val="1"/>
          <w:rtl w:val="0"/>
        </w:rPr>
        <w:t xml:space="preserve">Approval of income and expenditure statement for publication:</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Income, expenditure statements were approved for publication.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Introductions:</w:t>
      </w:r>
    </w:p>
    <w:p w:rsidR="00000000" w:rsidDel="00000000" w:rsidP="00000000" w:rsidRDefault="00000000" w:rsidRPr="00000000" w14:paraId="0000002E">
      <w:pPr>
        <w:numPr>
          <w:ilvl w:val="0"/>
          <w:numId w:val="2"/>
        </w:numPr>
        <w:ind w:left="720" w:hanging="360"/>
      </w:pPr>
      <w:r w:rsidDel="00000000" w:rsidR="00000000" w:rsidRPr="00000000">
        <w:rPr>
          <w:rtl w:val="0"/>
        </w:rPr>
        <w:t xml:space="preserve">Chair gave introduction to the group, highlighting the need to work cross-party and raise awareness of cyber issues, as well as how the group can make sure the government has their ‘feet to the fire’ regarding both cyber issues and secondary legislation to the Cyber Security and Resilience Bill (CSR Bill).</w:t>
      </w:r>
    </w:p>
    <w:p w:rsidR="00000000" w:rsidDel="00000000" w:rsidP="00000000" w:rsidRDefault="00000000" w:rsidRPr="00000000" w14:paraId="0000002F">
      <w:pPr>
        <w:numPr>
          <w:ilvl w:val="0"/>
          <w:numId w:val="2"/>
        </w:numPr>
        <w:ind w:left="720" w:hanging="360"/>
      </w:pPr>
      <w:r w:rsidDel="00000000" w:rsidR="00000000" w:rsidRPr="00000000">
        <w:rPr>
          <w:rtl w:val="0"/>
        </w:rPr>
        <w:t xml:space="preserve">Andrew Kernahan introduced the secretariat, Cybersecurity Business Network. He seconded the importance of the CSR Bill, and stated that he was keen to use the time we have available to brainstorm ideas for the first 6 months of the APPG, highlighting events/roundtables around quantum computing and future technologies.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2025 review:</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The Chair ran through the activity for 2025, including 4 roundtables, a briefing submission and drop in session, and emphasised the importance of continuing the groups work in 2026.</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2026 plan of work:</w:t>
      </w:r>
    </w:p>
    <w:p w:rsidR="00000000" w:rsidDel="00000000" w:rsidP="00000000" w:rsidRDefault="00000000" w:rsidRPr="00000000" w14:paraId="00000035">
      <w:pPr>
        <w:numPr>
          <w:ilvl w:val="0"/>
          <w:numId w:val="2"/>
        </w:numPr>
        <w:ind w:left="720" w:hanging="360"/>
      </w:pPr>
      <w:r w:rsidDel="00000000" w:rsidR="00000000" w:rsidRPr="00000000">
        <w:rPr>
          <w:rtl w:val="0"/>
        </w:rPr>
        <w:t xml:space="preserve">Baroness Neville-Rolfe raised greater collaboration of the APPG with other relevant groups, such as PICTFOR. She also raised the concerns of business, and emphasised the importance of clarity around how new legislation is brought about and what difference this may have on government departments.</w:t>
      </w:r>
    </w:p>
    <w:p w:rsidR="00000000" w:rsidDel="00000000" w:rsidP="00000000" w:rsidRDefault="00000000" w:rsidRPr="00000000" w14:paraId="00000036">
      <w:pPr>
        <w:numPr>
          <w:ilvl w:val="0"/>
          <w:numId w:val="2"/>
        </w:numPr>
        <w:ind w:left="720" w:hanging="360"/>
      </w:pPr>
      <w:r w:rsidDel="00000000" w:rsidR="00000000" w:rsidRPr="00000000">
        <w:rPr>
          <w:rtl w:val="0"/>
        </w:rPr>
        <w:t xml:space="preserve">Viscount Camrose raised an interest in the group hearing from cyber-insurance providers, as well as stressing the defence sector as an area of interest for the group.</w:t>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Grace Shin shared plans for the APPG to hold a joint briefing with the APPG for Cyber Security and Business Resilience with the DSIT CSR Bill team on the 10th March, as well as a cyber defence roundtable planned with Minister Luke Pollard (dates TBC).</w:t>
      </w:r>
    </w:p>
    <w:p w:rsidR="00000000" w:rsidDel="00000000" w:rsidP="00000000" w:rsidRDefault="00000000" w:rsidRPr="00000000" w14:paraId="00000038">
      <w:pPr>
        <w:numPr>
          <w:ilvl w:val="0"/>
          <w:numId w:val="2"/>
        </w:numPr>
        <w:ind w:left="720" w:hanging="360"/>
      </w:pPr>
      <w:r w:rsidDel="00000000" w:rsidR="00000000" w:rsidRPr="00000000">
        <w:rPr>
          <w:rtl w:val="0"/>
        </w:rPr>
        <w:t xml:space="preserve">Baroness Neville Rolfe requested a forward schedule of the APPG to be shared with members.</w:t>
      </w:r>
    </w:p>
    <w:p w:rsidR="00000000" w:rsidDel="00000000" w:rsidP="00000000" w:rsidRDefault="00000000" w:rsidRPr="00000000" w14:paraId="00000039">
      <w:pPr>
        <w:numPr>
          <w:ilvl w:val="0"/>
          <w:numId w:val="2"/>
        </w:numPr>
        <w:ind w:left="720" w:hanging="360"/>
      </w:pPr>
      <w:r w:rsidDel="00000000" w:rsidR="00000000" w:rsidRPr="00000000">
        <w:rPr>
          <w:rtl w:val="0"/>
        </w:rPr>
        <w:t xml:space="preserve">Sarah Edwards stressed the importance of sharing output from the APPG with committees.</w:t>
      </w:r>
    </w:p>
    <w:p w:rsidR="00000000" w:rsidDel="00000000" w:rsidP="00000000" w:rsidRDefault="00000000" w:rsidRPr="00000000" w14:paraId="0000003A">
      <w:pPr>
        <w:numPr>
          <w:ilvl w:val="0"/>
          <w:numId w:val="2"/>
        </w:numPr>
        <w:ind w:left="720" w:hanging="360"/>
      </w:pPr>
      <w:r w:rsidDel="00000000" w:rsidR="00000000" w:rsidRPr="00000000">
        <w:rPr>
          <w:rtl w:val="0"/>
        </w:rPr>
        <w:t xml:space="preserve">Plans for a potential inquiry around the CSR Bill were discussed. A potential inquiry could examine the impact of the CSR Bill on businesses, attitudes of business toward the Bill, and potential focus on SMEs.</w:t>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Alison Griffiths mentioned previous meetings with larger industry companies, who had made suggestions on potential amendments to the bill. She stressed the importance of influencing amendments to the CSR Bill while the group currently can (Bill is at committee stage)</w:t>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Attendees emphasised the value of hearing from practical experts and business people providing insights into potential committees/inquiries as opposed to public affairs/government relations officers.</w:t>
      </w:r>
    </w:p>
    <w:p w:rsidR="00000000" w:rsidDel="00000000" w:rsidP="00000000" w:rsidRDefault="00000000" w:rsidRPr="00000000" w14:paraId="0000003D">
      <w:pPr>
        <w:numPr>
          <w:ilvl w:val="0"/>
          <w:numId w:val="2"/>
        </w:numPr>
        <w:ind w:left="720" w:hanging="360"/>
        <w:rPr>
          <w:u w:val="none"/>
        </w:rPr>
      </w:pPr>
      <w:r w:rsidDel="00000000" w:rsidR="00000000" w:rsidRPr="00000000">
        <w:rPr>
          <w:rtl w:val="0"/>
        </w:rPr>
        <w:t xml:space="preserve">Members emphasised that the current codes and guidance within the CSR Bill are insufficiently clear, with little clarity around what constitutes an ‘incident’. Attendees agreed. They raised the issue of further bill definitions, and whether it covers ‘services or entities’. </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The Chair reinforced the importance of keeping the government’s ‘feet to the fire’ around influencing secondary legislation. It was suggested to provide an amendment in the House of Commons, before going straight to a House of Lords amendment.</w:t>
      </w:r>
    </w:p>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The Chair reinforced the need to get ‘practical, technical people in the room’ for any potential inquiry. </w:t>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Chair expressed disagreement with the government attempting to weaken end-to-end encryption through legislation.</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jc w:val="center"/>
        <w:rPr>
          <w:b w:val="1"/>
          <w:bCs w:val="1"/>
        </w:rPr>
      </w:pPr>
      <w:r w:rsidDel="00000000" w:rsidR="00000000" w:rsidRPr="00000000">
        <w:rPr>
          <w:b w:val="1"/>
          <w:bCs w:val="1"/>
          <w:rtl w:val="0"/>
        </w:rPr>
        <w:t xml:space="preserve">Meeting adjourned</w:t>
      </w:r>
    </w:p>
    <w:p w:rsidR="00000000" w:rsidDel="00000000" w:rsidP="00000000" w:rsidRDefault="00000000" w:rsidRPr="00000000" w14:paraId="00000043">
      <w:pPr>
        <w:rPr>
          <w:b w:val="1"/>
          <w:bCs w:val="1"/>
        </w:rPr>
      </w:pPr>
      <w:r w:rsidDel="00000000" w:rsidR="00000000" w:rsidRPr="00000000">
        <w:rPr>
          <w:rtl w:val="0"/>
        </w:rPr>
        <w:br w:type="textWrapping"/>
      </w:r>
      <w:r w:rsidDel="00000000" w:rsidR="00000000" w:rsidRPr="00000000">
        <w:rPr>
          <w:b w:val="1"/>
          <w:bCs w:val="1"/>
          <w:rtl w:val="0"/>
        </w:rPr>
        <w:t xml:space="preserve">Action items:</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Secretariat to draft and share minutes from AGM</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Secretariat to share ‘forward planner’ of APPG events to members</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drawing>
        <wp:inline distB="114300" distT="114300" distL="114300" distR="114300">
          <wp:extent cx="642938" cy="6429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2938" cy="6429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